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79AE" w14:textId="77777777" w:rsidR="002B051C" w:rsidRDefault="002B051C" w:rsidP="002B051C">
      <w:pPr>
        <w:spacing w:after="200" w:line="100" w:lineRule="atLeast"/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«</w:t>
      </w:r>
      <w:r>
        <w:rPr>
          <w:b/>
          <w:bCs/>
          <w:sz w:val="28"/>
          <w:szCs w:val="28"/>
          <w:lang w:val="en-US"/>
        </w:rPr>
        <w:t>Genome regulation</w:t>
      </w:r>
      <w:r>
        <w:rPr>
          <w:b/>
          <w:sz w:val="28"/>
          <w:szCs w:val="28"/>
          <w:lang w:val="en-US"/>
        </w:rPr>
        <w:t xml:space="preserve">» </w:t>
      </w:r>
    </w:p>
    <w:p w14:paraId="492BD802" w14:textId="77777777" w:rsidR="002B051C" w:rsidRDefault="002B051C" w:rsidP="002B051C">
      <w:pPr>
        <w:spacing w:line="100" w:lineRule="atLeast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«M05109 – Biotechnology»</w:t>
      </w:r>
    </w:p>
    <w:p w14:paraId="7F076571" w14:textId="2DA09721" w:rsidR="007637BF" w:rsidRPr="002B051C" w:rsidRDefault="007637BF">
      <w:pPr>
        <w:rPr>
          <w:lang w:val="en-US"/>
        </w:rPr>
      </w:pPr>
    </w:p>
    <w:p w14:paraId="04D2A722" w14:textId="0B1EA475" w:rsidR="002B051C" w:rsidRPr="002B051C" w:rsidRDefault="002B051C" w:rsidP="002B051C">
      <w:pPr>
        <w:jc w:val="center"/>
        <w:rPr>
          <w:i/>
          <w:iCs/>
          <w:lang w:val="en-US"/>
        </w:rPr>
      </w:pPr>
      <w:r w:rsidRPr="002B051C">
        <w:rPr>
          <w:i/>
          <w:iCs/>
          <w:lang w:val="en-US"/>
        </w:rPr>
        <w:t>Individual work of students</w:t>
      </w:r>
    </w:p>
    <w:p w14:paraId="295AC1CF" w14:textId="3197CEDC" w:rsidR="002B051C" w:rsidRPr="002B051C" w:rsidRDefault="002B051C" w:rsidP="002B051C">
      <w:pPr>
        <w:jc w:val="center"/>
        <w:rPr>
          <w:i/>
          <w:iCs/>
          <w:lang w:val="en-US"/>
        </w:rPr>
      </w:pPr>
      <w:r w:rsidRPr="002B051C">
        <w:rPr>
          <w:i/>
          <w:iCs/>
          <w:lang w:val="en-US"/>
        </w:rPr>
        <w:t>Manual</w:t>
      </w:r>
    </w:p>
    <w:p w14:paraId="7461029B" w14:textId="77777777" w:rsidR="002B051C" w:rsidRPr="002B051C" w:rsidRDefault="002B051C" w:rsidP="002B051C">
      <w:pPr>
        <w:jc w:val="center"/>
        <w:rPr>
          <w:i/>
          <w:iCs/>
          <w:lang w:val="en-US"/>
        </w:rPr>
      </w:pPr>
    </w:p>
    <w:p w14:paraId="751AD9EC" w14:textId="77777777" w:rsidR="002B051C" w:rsidRDefault="002B051C" w:rsidP="002B051C">
      <w:pPr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IWS 1.</w:t>
      </w:r>
      <w:r>
        <w:rPr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  <w:lang w:val="en"/>
        </w:rPr>
        <w:t>General characteristics of regulatory mechanisms. The structure of chromatin, its effect on transcription</w:t>
      </w:r>
    </w:p>
    <w:p w14:paraId="79A9B4E3" w14:textId="05DC4E07" w:rsidR="002B051C" w:rsidRDefault="002B051C">
      <w:pPr>
        <w:rPr>
          <w:lang w:val="en-US"/>
        </w:rPr>
      </w:pPr>
    </w:p>
    <w:p w14:paraId="5B4A51DF" w14:textId="53233328" w:rsidR="002B051C" w:rsidRDefault="002B051C" w:rsidP="002B051C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2 </w:t>
      </w:r>
      <w:r>
        <w:rPr>
          <w:color w:val="000000"/>
          <w:sz w:val="22"/>
          <w:szCs w:val="22"/>
          <w:lang w:val="en"/>
        </w:rPr>
        <w:t>Search for scientific publications on the problems of the course, analysis of their content</w:t>
      </w:r>
    </w:p>
    <w:p w14:paraId="6FAA24B4" w14:textId="4D33B7EB" w:rsidR="002B051C" w:rsidRDefault="002B051C">
      <w:pPr>
        <w:rPr>
          <w:lang w:val="en-US"/>
        </w:rPr>
      </w:pPr>
    </w:p>
    <w:p w14:paraId="54239F64" w14:textId="75A6A42E" w:rsidR="002B051C" w:rsidRDefault="002B051C">
      <w:pPr>
        <w:rPr>
          <w:lang w:val="en-US"/>
        </w:rPr>
      </w:pPr>
    </w:p>
    <w:p w14:paraId="14F56549" w14:textId="1DC3B507" w:rsidR="002B051C" w:rsidRDefault="002B051C">
      <w:pPr>
        <w:rPr>
          <w:color w:val="000000"/>
          <w:sz w:val="22"/>
          <w:szCs w:val="22"/>
          <w:lang w:val="en"/>
        </w:rPr>
      </w:pPr>
      <w:r>
        <w:rPr>
          <w:b/>
          <w:sz w:val="22"/>
          <w:szCs w:val="22"/>
          <w:lang w:val="en-US"/>
        </w:rPr>
        <w:t>IWS  3</w:t>
      </w:r>
      <w:r>
        <w:rPr>
          <w:color w:val="000000"/>
          <w:sz w:val="22"/>
          <w:szCs w:val="22"/>
          <w:lang w:val="kk-KZ"/>
        </w:rPr>
        <w:t>The c</w:t>
      </w:r>
      <w:r>
        <w:rPr>
          <w:color w:val="000000"/>
          <w:sz w:val="22"/>
          <w:szCs w:val="22"/>
          <w:lang w:val="en"/>
        </w:rPr>
        <w:t xml:space="preserve">oncept of operon and regulon. The control on the transcription initiation level. A promoter, an </w:t>
      </w:r>
      <w:proofErr w:type="gramStart"/>
      <w:r>
        <w:rPr>
          <w:color w:val="000000"/>
          <w:sz w:val="22"/>
          <w:szCs w:val="22"/>
          <w:lang w:val="en"/>
        </w:rPr>
        <w:t>operator</w:t>
      </w:r>
      <w:proofErr w:type="gramEnd"/>
      <w:r>
        <w:rPr>
          <w:color w:val="000000"/>
          <w:sz w:val="22"/>
          <w:szCs w:val="22"/>
          <w:lang w:val="en"/>
        </w:rPr>
        <w:t xml:space="preserve"> and regulatory proteins. The positive and negative control of the gene expression. The control at the transcription termination level. The catabolism-controlled operons: models of  lactose, galactose, </w:t>
      </w:r>
      <w:proofErr w:type="gramStart"/>
      <w:r>
        <w:rPr>
          <w:color w:val="000000"/>
          <w:sz w:val="22"/>
          <w:szCs w:val="22"/>
          <w:lang w:val="en"/>
        </w:rPr>
        <w:t>arabinose</w:t>
      </w:r>
      <w:proofErr w:type="gramEnd"/>
      <w:r>
        <w:rPr>
          <w:color w:val="000000"/>
          <w:sz w:val="22"/>
          <w:szCs w:val="22"/>
          <w:lang w:val="en"/>
        </w:rPr>
        <w:t xml:space="preserve"> and maltose operons. The attenuator-controlled operons: tryptophan operon model.</w:t>
      </w:r>
    </w:p>
    <w:p w14:paraId="78048FED" w14:textId="621274C0" w:rsidR="002B051C" w:rsidRDefault="002B051C">
      <w:pPr>
        <w:rPr>
          <w:color w:val="000000"/>
          <w:sz w:val="22"/>
          <w:szCs w:val="22"/>
          <w:lang w:val="en"/>
        </w:rPr>
      </w:pPr>
    </w:p>
    <w:p w14:paraId="7915DB1D" w14:textId="6D364AAF" w:rsidR="002B051C" w:rsidRDefault="002B051C">
      <w:pPr>
        <w:rPr>
          <w:sz w:val="22"/>
          <w:szCs w:val="22"/>
          <w:lang w:val="en"/>
        </w:rPr>
      </w:pPr>
      <w:r>
        <w:rPr>
          <w:b/>
          <w:sz w:val="22"/>
          <w:szCs w:val="22"/>
          <w:lang w:val="en-US"/>
        </w:rPr>
        <w:t xml:space="preserve">IWS 4 </w:t>
      </w:r>
      <w:r>
        <w:rPr>
          <w:sz w:val="22"/>
          <w:szCs w:val="22"/>
          <w:lang w:val="en"/>
        </w:rPr>
        <w:t>Antibiotics affecting codon phase-dependent binding of aminoacyl-tRNA to the ribosome. Aminoglycoside antibiotics (streptomycin, neomycin, kanamycin, gentamicin, etc.), Their mechanism of action. Tetracyclines as inhibitors of the binding of aminoacyl-tRNA to the ribosome.</w:t>
      </w:r>
    </w:p>
    <w:p w14:paraId="56DC04B3" w14:textId="51AD1ADF" w:rsidR="002B051C" w:rsidRDefault="002B051C">
      <w:pPr>
        <w:rPr>
          <w:sz w:val="22"/>
          <w:szCs w:val="22"/>
          <w:lang w:val="en"/>
        </w:rPr>
      </w:pPr>
    </w:p>
    <w:p w14:paraId="78ECC0AA" w14:textId="5A34331F" w:rsidR="002B051C" w:rsidRPr="002B051C" w:rsidRDefault="002B051C">
      <w:pPr>
        <w:rPr>
          <w:lang w:val="en-US"/>
        </w:rPr>
      </w:pPr>
      <w:r>
        <w:rPr>
          <w:b/>
          <w:color w:val="000000"/>
          <w:sz w:val="22"/>
          <w:szCs w:val="22"/>
          <w:lang w:val="en-US"/>
        </w:rPr>
        <w:t xml:space="preserve">IWS 5 </w:t>
      </w:r>
      <w:bookmarkStart w:id="0" w:name="_Hlk92721751"/>
      <w:r>
        <w:rPr>
          <w:sz w:val="22"/>
          <w:szCs w:val="22"/>
          <w:lang w:val="en"/>
        </w:rPr>
        <w:t>Termination of translation. Termination codon. Termination protein factors of prokaryotes and eukaryotes; Two classes of termination factors and their action mechanisms. Regulation of translation in prokaryotes</w:t>
      </w:r>
      <w:bookmarkEnd w:id="0"/>
    </w:p>
    <w:sectPr w:rsidR="002B051C" w:rsidRPr="002B05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1C"/>
    <w:rsid w:val="002B051C"/>
    <w:rsid w:val="007637BF"/>
    <w:rsid w:val="008C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9CA42"/>
  <w15:chartTrackingRefBased/>
  <w15:docId w15:val="{3952207F-8370-46B9-9A25-F9A2EE36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51C"/>
    <w:pPr>
      <w:spacing w:line="240" w:lineRule="auto"/>
    </w:pPr>
    <w:rPr>
      <w:rFonts w:eastAsia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1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 </cp:lastModifiedBy>
  <cp:revision>2</cp:revision>
  <dcterms:created xsi:type="dcterms:W3CDTF">2022-02-27T13:40:00Z</dcterms:created>
  <dcterms:modified xsi:type="dcterms:W3CDTF">2022-02-27T13:40:00Z</dcterms:modified>
</cp:coreProperties>
</file>